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AC2" w:rsidRDefault="009B7AC2" w:rsidP="001E598B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Level of Service (</w:t>
      </w:r>
      <w:r w:rsidRPr="004E040F">
        <w:rPr>
          <w:rFonts w:ascii="Arial" w:hAnsi="Arial" w:cs="Arial"/>
          <w:bCs/>
          <w:spacing w:val="-3"/>
          <w:sz w:val="22"/>
          <w:szCs w:val="22"/>
        </w:rPr>
        <w:t>LOS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4E040F">
        <w:rPr>
          <w:rFonts w:ascii="Arial" w:hAnsi="Arial" w:cs="Arial"/>
          <w:bCs/>
          <w:spacing w:val="-3"/>
          <w:sz w:val="22"/>
          <w:szCs w:val="22"/>
        </w:rPr>
        <w:t xml:space="preserve"> objectives help to minimise the risk of water supply security issues for 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outh </w:t>
      </w:r>
      <w:r w:rsidRPr="004E040F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ast </w:t>
      </w:r>
      <w:r w:rsidRPr="004E040F">
        <w:rPr>
          <w:rFonts w:ascii="Arial" w:hAnsi="Arial" w:cs="Arial"/>
          <w:bCs/>
          <w:spacing w:val="-3"/>
          <w:sz w:val="22"/>
          <w:szCs w:val="22"/>
        </w:rPr>
        <w:t>Q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ueensland (SEQ) by </w:t>
      </w:r>
      <w:r w:rsidRPr="009B7AC2">
        <w:rPr>
          <w:rFonts w:ascii="Arial" w:hAnsi="Arial" w:cs="Arial"/>
          <w:bCs/>
          <w:spacing w:val="-3"/>
          <w:sz w:val="22"/>
          <w:szCs w:val="22"/>
        </w:rPr>
        <w:t>specif</w:t>
      </w:r>
      <w:r>
        <w:rPr>
          <w:rFonts w:ascii="Arial" w:hAnsi="Arial" w:cs="Arial"/>
          <w:bCs/>
          <w:spacing w:val="-3"/>
          <w:sz w:val="22"/>
          <w:szCs w:val="22"/>
        </w:rPr>
        <w:t>ying</w:t>
      </w:r>
      <w:r w:rsidRPr="009B7AC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257CA">
        <w:rPr>
          <w:rFonts w:ascii="Arial" w:hAnsi="Arial" w:cs="Arial"/>
          <w:bCs/>
          <w:spacing w:val="-3"/>
          <w:sz w:val="22"/>
          <w:szCs w:val="22"/>
        </w:rPr>
        <w:t>the performance of bulk water supply system that Seqwater must meet when undertaking their long term water supply planning</w:t>
      </w:r>
      <w:r w:rsidR="00E66BA5">
        <w:rPr>
          <w:rFonts w:ascii="Arial" w:hAnsi="Arial" w:cs="Arial"/>
          <w:bCs/>
          <w:spacing w:val="-3"/>
          <w:sz w:val="22"/>
          <w:szCs w:val="22"/>
        </w:rPr>
        <w:t xml:space="preserve"> activities</w:t>
      </w:r>
      <w:r w:rsidR="007257CA">
        <w:rPr>
          <w:rFonts w:ascii="Arial" w:hAnsi="Arial" w:cs="Arial"/>
          <w:bCs/>
          <w:spacing w:val="-3"/>
          <w:sz w:val="22"/>
          <w:szCs w:val="22"/>
        </w:rPr>
        <w:t>.</w:t>
      </w:r>
      <w:r w:rsidRPr="009B7AC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40D5C" w:rsidRDefault="00640D5C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40D5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previous </w:t>
      </w:r>
      <w:r w:rsidRPr="00640D5C">
        <w:rPr>
          <w:rFonts w:ascii="Arial" w:hAnsi="Arial" w:cs="Arial"/>
          <w:bCs/>
          <w:spacing w:val="-3"/>
          <w:sz w:val="22"/>
          <w:szCs w:val="22"/>
        </w:rPr>
        <w:t>LOS objectives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were developed at the end of the 2001-2009 drought and </w:t>
      </w:r>
      <w:r w:rsidRPr="00640D5C">
        <w:rPr>
          <w:rFonts w:ascii="Arial" w:hAnsi="Arial" w:cs="Arial"/>
          <w:bCs/>
          <w:spacing w:val="-3"/>
          <w:sz w:val="22"/>
          <w:szCs w:val="22"/>
        </w:rPr>
        <w:t>require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Pr="00640D5C">
        <w:rPr>
          <w:rFonts w:ascii="Arial" w:hAnsi="Arial" w:cs="Arial"/>
          <w:bCs/>
          <w:spacing w:val="-3"/>
          <w:sz w:val="22"/>
          <w:szCs w:val="22"/>
        </w:rPr>
        <w:t xml:space="preserve"> the SEQ bulk water supply system to provide a regional average urban water allowance of 375 </w:t>
      </w:r>
      <w:r>
        <w:rPr>
          <w:rFonts w:ascii="Arial" w:hAnsi="Arial" w:cs="Arial"/>
          <w:bCs/>
          <w:spacing w:val="-3"/>
          <w:sz w:val="22"/>
          <w:szCs w:val="22"/>
        </w:rPr>
        <w:t>litres per person per day. This is substantially in excess of the region’s actual water use over the last few years.</w:t>
      </w:r>
      <w:r w:rsidRPr="00640D5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81DA6" w:rsidRPr="00DE6BCC" w:rsidRDefault="00281DA6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BCC">
        <w:rPr>
          <w:rFonts w:ascii="Arial" w:hAnsi="Arial" w:cs="Arial"/>
          <w:sz w:val="22"/>
          <w:szCs w:val="22"/>
        </w:rPr>
        <w:t xml:space="preserve">If this </w:t>
      </w:r>
      <w:r w:rsidR="00E66BA5">
        <w:rPr>
          <w:rFonts w:ascii="Arial" w:hAnsi="Arial" w:cs="Arial"/>
          <w:sz w:val="22"/>
          <w:szCs w:val="22"/>
        </w:rPr>
        <w:t>allowance</w:t>
      </w:r>
      <w:r w:rsidRPr="00DE6BCC">
        <w:rPr>
          <w:rFonts w:ascii="Arial" w:hAnsi="Arial" w:cs="Arial"/>
          <w:sz w:val="22"/>
          <w:szCs w:val="22"/>
        </w:rPr>
        <w:t xml:space="preserve"> remains unchanged, a driver remains for costly bulk water supply infrastructure to be built long before it is actually required</w:t>
      </w:r>
      <w:r>
        <w:rPr>
          <w:rFonts w:ascii="Arial" w:hAnsi="Arial" w:cs="Arial"/>
          <w:sz w:val="22"/>
          <w:szCs w:val="22"/>
        </w:rPr>
        <w:t>.</w:t>
      </w:r>
    </w:p>
    <w:p w:rsidR="00281DA6" w:rsidRPr="00DE6BCC" w:rsidRDefault="00281DA6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review of the desired </w:t>
      </w:r>
      <w:r w:rsidR="004531FE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 xml:space="preserve"> objectives was undertaken to examine options that facilitate</w:t>
      </w:r>
      <w:r w:rsidRPr="00DE6B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appropriate </w:t>
      </w:r>
      <w:r w:rsidRPr="00DE6BCC">
        <w:rPr>
          <w:rFonts w:ascii="Arial" w:hAnsi="Arial" w:cs="Arial"/>
          <w:sz w:val="22"/>
          <w:szCs w:val="22"/>
        </w:rPr>
        <w:t>investment in the bulk water supply system by providing more flexibility to optimise existing assets and adopt</w:t>
      </w:r>
      <w:r>
        <w:rPr>
          <w:rFonts w:ascii="Arial" w:hAnsi="Arial" w:cs="Arial"/>
          <w:sz w:val="22"/>
          <w:szCs w:val="22"/>
        </w:rPr>
        <w:t>ing</w:t>
      </w:r>
      <w:r w:rsidRPr="00DE6BCC">
        <w:rPr>
          <w:rFonts w:ascii="Arial" w:hAnsi="Arial" w:cs="Arial"/>
          <w:sz w:val="22"/>
          <w:szCs w:val="22"/>
        </w:rPr>
        <w:t xml:space="preserve"> a more adaptive planning approach that aligns with community expectations</w:t>
      </w:r>
      <w:r>
        <w:rPr>
          <w:rFonts w:ascii="Arial" w:hAnsi="Arial" w:cs="Arial"/>
          <w:sz w:val="22"/>
          <w:szCs w:val="22"/>
        </w:rPr>
        <w:t>.</w:t>
      </w:r>
    </w:p>
    <w:p w:rsidR="00EA70F8" w:rsidRPr="00685279" w:rsidRDefault="009C0A2A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189E">
        <w:rPr>
          <w:rFonts w:ascii="Arial" w:hAnsi="Arial" w:cs="Arial"/>
          <w:bCs/>
          <w:spacing w:val="-3"/>
          <w:sz w:val="22"/>
          <w:szCs w:val="22"/>
        </w:rPr>
        <w:t xml:space="preserve">Public consultation </w:t>
      </w:r>
      <w:r w:rsidR="00EA70F8" w:rsidRPr="00685279">
        <w:rPr>
          <w:rFonts w:ascii="Arial" w:hAnsi="Arial" w:cs="Arial"/>
          <w:bCs/>
          <w:spacing w:val="-3"/>
          <w:sz w:val="22"/>
          <w:szCs w:val="22"/>
        </w:rPr>
        <w:t xml:space="preserve">ran from 23 October 2013 to </w:t>
      </w:r>
      <w:r w:rsidRPr="00685279">
        <w:rPr>
          <w:rFonts w:ascii="Arial" w:hAnsi="Arial" w:cs="Arial"/>
          <w:bCs/>
          <w:spacing w:val="-3"/>
          <w:sz w:val="22"/>
          <w:szCs w:val="22"/>
        </w:rPr>
        <w:t>17 January 2014</w:t>
      </w:r>
      <w:r w:rsidR="00EA70F8" w:rsidRPr="00685279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281DA6">
        <w:rPr>
          <w:rFonts w:ascii="Arial" w:hAnsi="Arial" w:cs="Arial"/>
          <w:bCs/>
          <w:spacing w:val="-3"/>
          <w:sz w:val="22"/>
          <w:szCs w:val="22"/>
        </w:rPr>
        <w:t xml:space="preserve">Support for the proposed revised objectives was received from those that provided comment. </w:t>
      </w:r>
    </w:p>
    <w:p w:rsidR="00685279" w:rsidRPr="00D73BF5" w:rsidRDefault="00281DA6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685279" w:rsidRPr="00CD552D">
        <w:rPr>
          <w:rFonts w:ascii="Arial" w:hAnsi="Arial" w:cs="Arial"/>
          <w:bCs/>
          <w:spacing w:val="-3"/>
          <w:sz w:val="22"/>
          <w:szCs w:val="22"/>
        </w:rPr>
        <w:t xml:space="preserve"> Decision </w:t>
      </w:r>
      <w:r w:rsidR="004531FE">
        <w:rPr>
          <w:rFonts w:ascii="Arial" w:hAnsi="Arial" w:cs="Arial"/>
          <w:bCs/>
          <w:spacing w:val="-3"/>
          <w:sz w:val="22"/>
          <w:szCs w:val="22"/>
        </w:rPr>
        <w:t>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egulatory </w:t>
      </w:r>
      <w:r w:rsidR="004531FE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mpact </w:t>
      </w:r>
      <w:r w:rsidR="004531FE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tatement</w:t>
      </w:r>
      <w:r w:rsidR="00685279" w:rsidRPr="00CD55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073FD">
        <w:rPr>
          <w:rFonts w:ascii="Arial" w:hAnsi="Arial" w:cs="Arial"/>
          <w:bCs/>
          <w:spacing w:val="-3"/>
          <w:sz w:val="22"/>
          <w:szCs w:val="22"/>
        </w:rPr>
        <w:t>is</w:t>
      </w:r>
      <w:r w:rsidR="00685279" w:rsidRPr="00CD552D">
        <w:rPr>
          <w:rFonts w:ascii="Arial" w:hAnsi="Arial" w:cs="Arial"/>
          <w:bCs/>
          <w:spacing w:val="-3"/>
          <w:sz w:val="22"/>
          <w:szCs w:val="22"/>
        </w:rPr>
        <w:t xml:space="preserve"> published on the “</w:t>
      </w:r>
      <w:r w:rsidR="00685279" w:rsidRPr="00FB33A6">
        <w:rPr>
          <w:rFonts w:ascii="Arial" w:hAnsi="Arial" w:cs="Arial"/>
          <w:bCs/>
          <w:i/>
          <w:spacing w:val="-3"/>
          <w:sz w:val="22"/>
          <w:szCs w:val="22"/>
        </w:rPr>
        <w:t>Get involved</w:t>
      </w:r>
      <w:r w:rsidR="00685279" w:rsidRPr="000B39C9">
        <w:rPr>
          <w:rFonts w:ascii="Arial" w:hAnsi="Arial" w:cs="Arial"/>
          <w:bCs/>
          <w:spacing w:val="-3"/>
          <w:sz w:val="22"/>
          <w:szCs w:val="22"/>
        </w:rPr>
        <w:t>” website</w:t>
      </w:r>
      <w:r w:rsidR="00685279" w:rsidRPr="00D73BF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73BF5" w:rsidRDefault="00C25106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Within 12 months of </w:t>
      </w:r>
      <w:r w:rsidRPr="00C25106">
        <w:rPr>
          <w:rFonts w:ascii="Arial" w:hAnsi="Arial" w:cs="Arial"/>
          <w:bCs/>
          <w:spacing w:val="-3"/>
          <w:sz w:val="22"/>
          <w:szCs w:val="22"/>
        </w:rPr>
        <w:t xml:space="preserve">the revised LOS objectives </w:t>
      </w:r>
      <w:r>
        <w:rPr>
          <w:rFonts w:ascii="Arial" w:hAnsi="Arial" w:cs="Arial"/>
          <w:bCs/>
          <w:spacing w:val="-3"/>
          <w:sz w:val="22"/>
          <w:szCs w:val="22"/>
        </w:rPr>
        <w:t>being</w:t>
      </w:r>
      <w:r w:rsidRPr="00C25106">
        <w:rPr>
          <w:rFonts w:ascii="Arial" w:hAnsi="Arial" w:cs="Arial"/>
          <w:bCs/>
          <w:spacing w:val="-3"/>
          <w:sz w:val="22"/>
          <w:szCs w:val="22"/>
        </w:rPr>
        <w:t xml:space="preserve"> prescribed in regulation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C25106">
        <w:rPr>
          <w:rFonts w:ascii="Arial" w:hAnsi="Arial" w:cs="Arial"/>
          <w:bCs/>
          <w:spacing w:val="-3"/>
          <w:sz w:val="22"/>
          <w:szCs w:val="22"/>
        </w:rPr>
        <w:t xml:space="preserve"> Seqwater must develop a water security program</w:t>
      </w:r>
      <w:r w:rsidR="00767421">
        <w:rPr>
          <w:rFonts w:ascii="Arial" w:hAnsi="Arial" w:cs="Arial"/>
          <w:bCs/>
          <w:spacing w:val="-3"/>
          <w:sz w:val="22"/>
          <w:szCs w:val="22"/>
        </w:rPr>
        <w:t xml:space="preserve"> (WSP)</w:t>
      </w:r>
      <w:r w:rsidR="00E90E51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Pr="00C25106">
        <w:rPr>
          <w:rFonts w:ascii="Arial" w:hAnsi="Arial" w:cs="Arial"/>
          <w:bCs/>
          <w:spacing w:val="-3"/>
          <w:sz w:val="22"/>
          <w:szCs w:val="22"/>
        </w:rPr>
        <w:t xml:space="preserve">outline the </w:t>
      </w:r>
      <w:r w:rsidR="00767421">
        <w:rPr>
          <w:rFonts w:ascii="Arial" w:hAnsi="Arial" w:cs="Arial"/>
          <w:bCs/>
          <w:spacing w:val="-3"/>
          <w:sz w:val="22"/>
          <w:szCs w:val="22"/>
        </w:rPr>
        <w:t xml:space="preserve">operating and planning </w:t>
      </w:r>
      <w:r w:rsidRPr="00C25106">
        <w:rPr>
          <w:rFonts w:ascii="Arial" w:hAnsi="Arial" w:cs="Arial"/>
          <w:bCs/>
          <w:spacing w:val="-3"/>
          <w:sz w:val="22"/>
          <w:szCs w:val="22"/>
        </w:rPr>
        <w:t xml:space="preserve">arrangements </w:t>
      </w:r>
      <w:r w:rsidR="00767421">
        <w:rPr>
          <w:rFonts w:ascii="Arial" w:hAnsi="Arial" w:cs="Arial"/>
          <w:bCs/>
          <w:spacing w:val="-3"/>
          <w:sz w:val="22"/>
          <w:szCs w:val="22"/>
        </w:rPr>
        <w:t>for</w:t>
      </w:r>
      <w:r w:rsidRPr="00C25106">
        <w:rPr>
          <w:rFonts w:ascii="Arial" w:hAnsi="Arial" w:cs="Arial"/>
          <w:bCs/>
          <w:spacing w:val="-3"/>
          <w:sz w:val="22"/>
          <w:szCs w:val="22"/>
        </w:rPr>
        <w:t xml:space="preserve"> achiev</w:t>
      </w:r>
      <w:r w:rsidR="00767421">
        <w:rPr>
          <w:rFonts w:ascii="Arial" w:hAnsi="Arial" w:cs="Arial"/>
          <w:bCs/>
          <w:spacing w:val="-3"/>
          <w:sz w:val="22"/>
          <w:szCs w:val="22"/>
        </w:rPr>
        <w:t>ing</w:t>
      </w:r>
      <w:r w:rsidRPr="00C25106">
        <w:rPr>
          <w:rFonts w:ascii="Arial" w:hAnsi="Arial" w:cs="Arial"/>
          <w:bCs/>
          <w:spacing w:val="-3"/>
          <w:sz w:val="22"/>
          <w:szCs w:val="22"/>
        </w:rPr>
        <w:t xml:space="preserve"> the LOS objectives</w:t>
      </w:r>
      <w:r w:rsidR="00E90E51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F5042" w:rsidRDefault="00E90E51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5042">
        <w:rPr>
          <w:rFonts w:ascii="Arial" w:hAnsi="Arial" w:cs="Arial"/>
          <w:bCs/>
          <w:spacing w:val="-3"/>
          <w:sz w:val="22"/>
          <w:szCs w:val="22"/>
        </w:rPr>
        <w:t>Th</w:t>
      </w:r>
      <w:r w:rsidR="00767421" w:rsidRPr="005F5042">
        <w:rPr>
          <w:rFonts w:ascii="Arial" w:hAnsi="Arial" w:cs="Arial"/>
          <w:bCs/>
          <w:spacing w:val="-3"/>
          <w:sz w:val="22"/>
          <w:szCs w:val="22"/>
        </w:rPr>
        <w:t>e WSP will</w:t>
      </w:r>
      <w:r w:rsidRPr="001209B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25106" w:rsidRPr="001209B7">
        <w:rPr>
          <w:rFonts w:ascii="Arial" w:hAnsi="Arial" w:cs="Arial"/>
          <w:bCs/>
          <w:spacing w:val="-3"/>
          <w:sz w:val="22"/>
          <w:szCs w:val="22"/>
        </w:rPr>
        <w:t>includ</w:t>
      </w:r>
      <w:r w:rsidRPr="001209B7">
        <w:rPr>
          <w:rFonts w:ascii="Arial" w:hAnsi="Arial" w:cs="Arial"/>
          <w:bCs/>
          <w:spacing w:val="-3"/>
          <w:sz w:val="22"/>
          <w:szCs w:val="22"/>
        </w:rPr>
        <w:t>e</w:t>
      </w:r>
      <w:r w:rsidR="00767421" w:rsidRPr="001209B7">
        <w:rPr>
          <w:rFonts w:ascii="Arial" w:hAnsi="Arial" w:cs="Arial"/>
          <w:bCs/>
          <w:spacing w:val="-3"/>
          <w:sz w:val="22"/>
          <w:szCs w:val="22"/>
        </w:rPr>
        <w:t xml:space="preserve"> details covering</w:t>
      </w:r>
      <w:r w:rsidR="00C25106" w:rsidRPr="001209B7">
        <w:rPr>
          <w:rFonts w:ascii="Arial" w:hAnsi="Arial" w:cs="Arial"/>
          <w:bCs/>
          <w:spacing w:val="-3"/>
          <w:sz w:val="22"/>
          <w:szCs w:val="22"/>
        </w:rPr>
        <w:t xml:space="preserve"> how the bulk water supply system </w:t>
      </w:r>
      <w:r w:rsidR="00767421" w:rsidRPr="001209B7">
        <w:rPr>
          <w:rFonts w:ascii="Arial" w:hAnsi="Arial" w:cs="Arial"/>
          <w:bCs/>
          <w:spacing w:val="-3"/>
          <w:sz w:val="22"/>
          <w:szCs w:val="22"/>
        </w:rPr>
        <w:t xml:space="preserve">assets </w:t>
      </w:r>
      <w:r w:rsidR="00C25106" w:rsidRPr="001209B7">
        <w:rPr>
          <w:rFonts w:ascii="Arial" w:hAnsi="Arial" w:cs="Arial"/>
          <w:bCs/>
          <w:spacing w:val="-3"/>
          <w:sz w:val="22"/>
          <w:szCs w:val="22"/>
        </w:rPr>
        <w:t>will be operated</w:t>
      </w:r>
      <w:r w:rsidR="00767421" w:rsidRPr="001209B7">
        <w:rPr>
          <w:rFonts w:ascii="Arial" w:hAnsi="Arial" w:cs="Arial"/>
          <w:bCs/>
          <w:spacing w:val="-3"/>
          <w:sz w:val="22"/>
          <w:szCs w:val="22"/>
        </w:rPr>
        <w:t xml:space="preserve"> individually and conjunctively</w:t>
      </w:r>
      <w:r w:rsidR="00C25106" w:rsidRPr="001209B7">
        <w:rPr>
          <w:rFonts w:ascii="Arial" w:hAnsi="Arial" w:cs="Arial"/>
          <w:bCs/>
          <w:spacing w:val="-3"/>
          <w:sz w:val="22"/>
          <w:szCs w:val="22"/>
        </w:rPr>
        <w:t xml:space="preserve">; identification of future bulk water supply infrastructure requirements; and </w:t>
      </w:r>
      <w:r w:rsidR="00767421" w:rsidRPr="001209B7">
        <w:rPr>
          <w:rFonts w:ascii="Arial" w:hAnsi="Arial" w:cs="Arial"/>
          <w:bCs/>
          <w:spacing w:val="-3"/>
          <w:sz w:val="22"/>
          <w:szCs w:val="22"/>
        </w:rPr>
        <w:t>drought response options</w:t>
      </w:r>
      <w:r w:rsidR="00C25106" w:rsidRPr="001209B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073FD" w:rsidRDefault="00066D00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147A">
        <w:rPr>
          <w:rFonts w:ascii="Arial" w:hAnsi="Arial" w:cs="Arial"/>
          <w:bCs/>
          <w:spacing w:val="-3"/>
          <w:sz w:val="22"/>
          <w:szCs w:val="22"/>
          <w:u w:val="single"/>
        </w:rPr>
        <w:t>Cabine</w:t>
      </w:r>
      <w:r w:rsidRPr="00A073FD">
        <w:rPr>
          <w:rFonts w:ascii="Arial" w:hAnsi="Arial" w:cs="Arial"/>
          <w:bCs/>
          <w:spacing w:val="-3"/>
          <w:sz w:val="22"/>
          <w:szCs w:val="22"/>
          <w:u w:val="single"/>
        </w:rPr>
        <w:t>t</w:t>
      </w:r>
      <w:r w:rsidR="00A073FD" w:rsidRPr="00E87770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A073FD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A073F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480944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281DA6">
        <w:rPr>
          <w:rFonts w:ascii="Arial" w:hAnsi="Arial" w:cs="Arial"/>
          <w:bCs/>
          <w:spacing w:val="-3"/>
          <w:sz w:val="22"/>
          <w:szCs w:val="22"/>
        </w:rPr>
        <w:t xml:space="preserve">proposed </w:t>
      </w:r>
      <w:r w:rsidR="00480944">
        <w:rPr>
          <w:rFonts w:ascii="Arial" w:hAnsi="Arial" w:cs="Arial"/>
          <w:bCs/>
          <w:spacing w:val="-3"/>
          <w:sz w:val="22"/>
          <w:szCs w:val="22"/>
        </w:rPr>
        <w:t xml:space="preserve">revised </w:t>
      </w:r>
      <w:r w:rsidR="00CD7841">
        <w:rPr>
          <w:rFonts w:ascii="Arial" w:hAnsi="Arial" w:cs="Arial"/>
          <w:bCs/>
          <w:spacing w:val="-3"/>
          <w:sz w:val="22"/>
          <w:szCs w:val="22"/>
        </w:rPr>
        <w:t>Level of Service</w:t>
      </w:r>
      <w:r w:rsidR="00480944">
        <w:rPr>
          <w:rFonts w:ascii="Arial" w:hAnsi="Arial" w:cs="Arial"/>
          <w:bCs/>
          <w:spacing w:val="-3"/>
          <w:sz w:val="22"/>
          <w:szCs w:val="22"/>
        </w:rPr>
        <w:t xml:space="preserve"> objectives.</w:t>
      </w:r>
    </w:p>
    <w:p w:rsidR="00BC3FA1" w:rsidRPr="00A073FD" w:rsidRDefault="00A073FD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87770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A073F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1534">
        <w:rPr>
          <w:rFonts w:ascii="Arial" w:hAnsi="Arial" w:cs="Arial"/>
          <w:bCs/>
          <w:spacing w:val="-3"/>
          <w:sz w:val="22"/>
          <w:szCs w:val="22"/>
        </w:rPr>
        <w:t xml:space="preserve">that the </w:t>
      </w:r>
      <w:r w:rsidR="007C1534" w:rsidRPr="00A073FD">
        <w:rPr>
          <w:rFonts w:ascii="Arial" w:hAnsi="Arial" w:cs="Arial"/>
          <w:bCs/>
          <w:i/>
          <w:spacing w:val="-3"/>
          <w:sz w:val="22"/>
          <w:szCs w:val="22"/>
        </w:rPr>
        <w:t xml:space="preserve">Water Amendment Regulation </w:t>
      </w:r>
      <w:r w:rsidR="007C1534">
        <w:rPr>
          <w:rFonts w:ascii="Arial" w:hAnsi="Arial" w:cs="Arial"/>
          <w:bCs/>
          <w:i/>
          <w:spacing w:val="-3"/>
          <w:sz w:val="22"/>
          <w:szCs w:val="22"/>
        </w:rPr>
        <w:t xml:space="preserve">(No. 1) </w:t>
      </w:r>
      <w:r w:rsidR="007C1534" w:rsidRPr="00A073FD">
        <w:rPr>
          <w:rFonts w:ascii="Arial" w:hAnsi="Arial" w:cs="Arial"/>
          <w:bCs/>
          <w:i/>
          <w:spacing w:val="-3"/>
          <w:sz w:val="22"/>
          <w:szCs w:val="22"/>
        </w:rPr>
        <w:t>2014</w:t>
      </w:r>
      <w:r w:rsidR="007C153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7C1534" w:rsidRPr="00E87770">
        <w:rPr>
          <w:rFonts w:ascii="Arial" w:hAnsi="Arial" w:cs="Arial"/>
          <w:bCs/>
          <w:spacing w:val="-3"/>
          <w:sz w:val="22"/>
          <w:szCs w:val="22"/>
        </w:rPr>
        <w:t>be</w:t>
      </w:r>
      <w:r w:rsidR="00066D00" w:rsidRPr="00A073FD">
        <w:rPr>
          <w:rFonts w:ascii="Arial" w:hAnsi="Arial" w:cs="Arial"/>
          <w:bCs/>
          <w:spacing w:val="-3"/>
          <w:sz w:val="22"/>
          <w:szCs w:val="22"/>
        </w:rPr>
        <w:t xml:space="preserve"> recommended to the Governor in Council for approval.</w:t>
      </w:r>
    </w:p>
    <w:p w:rsidR="00B85EB6" w:rsidRPr="00657A95" w:rsidRDefault="00657A95" w:rsidP="001E598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657A9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E598B" w:rsidRPr="00CD7841" w:rsidRDefault="00BF2448" w:rsidP="001E598B">
      <w:pPr>
        <w:numPr>
          <w:ilvl w:val="0"/>
          <w:numId w:val="10"/>
        </w:numPr>
        <w:spacing w:before="120"/>
        <w:ind w:left="723"/>
        <w:jc w:val="both"/>
        <w:rPr>
          <w:rFonts w:ascii="Arial" w:hAnsi="Arial" w:cs="Arial"/>
          <w:sz w:val="22"/>
          <w:szCs w:val="22"/>
        </w:rPr>
      </w:pPr>
      <w:hyperlink r:id="rId12" w:history="1">
        <w:r w:rsidR="001E598B" w:rsidRPr="00AE019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Water Amendment Regulation (No.1) 2014</w:t>
        </w:r>
      </w:hyperlink>
    </w:p>
    <w:p w:rsidR="001E598B" w:rsidRPr="00CD7841" w:rsidRDefault="00BF2448" w:rsidP="001E598B">
      <w:pPr>
        <w:numPr>
          <w:ilvl w:val="0"/>
          <w:numId w:val="10"/>
        </w:numPr>
        <w:spacing w:before="120"/>
        <w:ind w:left="723"/>
        <w:jc w:val="both"/>
        <w:rPr>
          <w:rFonts w:ascii="Arial" w:hAnsi="Arial" w:cs="Arial"/>
          <w:sz w:val="22"/>
          <w:szCs w:val="22"/>
        </w:rPr>
      </w:pPr>
      <w:hyperlink r:id="rId13" w:history="1">
        <w:r w:rsidR="001E598B" w:rsidRPr="00AE019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:rsidR="001E598B" w:rsidRPr="001E598B" w:rsidRDefault="00BF2448" w:rsidP="001E598B">
      <w:pPr>
        <w:numPr>
          <w:ilvl w:val="0"/>
          <w:numId w:val="10"/>
        </w:numPr>
        <w:spacing w:before="120"/>
        <w:ind w:left="723"/>
        <w:jc w:val="both"/>
        <w:rPr>
          <w:rFonts w:ascii="Arial" w:hAnsi="Arial" w:cs="Arial"/>
          <w:sz w:val="22"/>
          <w:szCs w:val="22"/>
        </w:rPr>
      </w:pPr>
      <w:hyperlink r:id="rId14" w:history="1">
        <w:r w:rsidR="00657A95" w:rsidRPr="00AE0195">
          <w:rPr>
            <w:rStyle w:val="Hyperlink"/>
            <w:rFonts w:ascii="Arial" w:hAnsi="Arial" w:cs="Arial"/>
            <w:sz w:val="22"/>
            <w:szCs w:val="22"/>
          </w:rPr>
          <w:t xml:space="preserve">Decision </w:t>
        </w:r>
        <w:r w:rsidR="00657A95" w:rsidRPr="00AE019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Regulatory Impact Statement</w:t>
        </w:r>
      </w:hyperlink>
    </w:p>
    <w:sectPr w:rsidR="001E598B" w:rsidRPr="001E598B" w:rsidSect="0040759A">
      <w:head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16" w:rsidRDefault="00C93416" w:rsidP="00D6589B">
      <w:r>
        <w:separator/>
      </w:r>
    </w:p>
  </w:endnote>
  <w:endnote w:type="continuationSeparator" w:id="0">
    <w:p w:rsidR="00C93416" w:rsidRDefault="00C9341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16" w:rsidRDefault="00C93416" w:rsidP="00D6589B">
      <w:r>
        <w:separator/>
      </w:r>
    </w:p>
  </w:footnote>
  <w:footnote w:type="continuationSeparator" w:id="0">
    <w:p w:rsidR="00C93416" w:rsidRDefault="00C9341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95" w:rsidRPr="00937A4A" w:rsidRDefault="00657A95" w:rsidP="00657A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657A95" w:rsidRPr="00937A4A" w:rsidRDefault="00657A95" w:rsidP="00657A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657A95" w:rsidRPr="00937A4A" w:rsidRDefault="00657A95" w:rsidP="00657A9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2014</w:t>
    </w:r>
  </w:p>
  <w:p w:rsidR="00657A95" w:rsidRPr="00657A95" w:rsidRDefault="00657A95" w:rsidP="00657A95">
    <w:pPr>
      <w:keepLines/>
      <w:spacing w:before="240"/>
      <w:jc w:val="both"/>
      <w:rPr>
        <w:rFonts w:ascii="Arial" w:hAnsi="Arial" w:cs="Arial"/>
        <w:b/>
        <w:i/>
        <w:sz w:val="22"/>
        <w:szCs w:val="22"/>
        <w:u w:val="single"/>
      </w:rPr>
    </w:pPr>
    <w:r w:rsidRPr="00657A95">
      <w:rPr>
        <w:rFonts w:ascii="Arial" w:hAnsi="Arial" w:cs="Arial"/>
        <w:b/>
        <w:i/>
        <w:sz w:val="22"/>
        <w:szCs w:val="22"/>
        <w:u w:val="single"/>
      </w:rPr>
      <w:t xml:space="preserve">Water Amendment Regulation (No. </w:t>
    </w:r>
    <w:r w:rsidR="007257CA">
      <w:rPr>
        <w:rFonts w:ascii="Arial" w:hAnsi="Arial" w:cs="Arial"/>
        <w:b/>
        <w:i/>
        <w:sz w:val="22"/>
        <w:szCs w:val="22"/>
        <w:u w:val="single"/>
      </w:rPr>
      <w:t>1</w:t>
    </w:r>
    <w:r w:rsidRPr="00657A95">
      <w:rPr>
        <w:rFonts w:ascii="Arial" w:hAnsi="Arial" w:cs="Arial"/>
        <w:b/>
        <w:i/>
        <w:sz w:val="22"/>
        <w:szCs w:val="22"/>
        <w:u w:val="single"/>
      </w:rPr>
      <w:t>) 2014</w:t>
    </w:r>
  </w:p>
  <w:p w:rsidR="00657A95" w:rsidRDefault="00657A95" w:rsidP="00657A9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657A95" w:rsidRDefault="00657A95" w:rsidP="00C536A9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  <w:p w:rsidR="0079035F" w:rsidRPr="0079035F" w:rsidRDefault="0079035F" w:rsidP="00790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0B7"/>
    <w:multiLevelType w:val="hybridMultilevel"/>
    <w:tmpl w:val="4C62C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6181"/>
    <w:multiLevelType w:val="hybridMultilevel"/>
    <w:tmpl w:val="AD2049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A0813"/>
    <w:multiLevelType w:val="hybridMultilevel"/>
    <w:tmpl w:val="DF2AE5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163FC"/>
    <w:multiLevelType w:val="hybridMultilevel"/>
    <w:tmpl w:val="1856F2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D6D8B"/>
    <w:multiLevelType w:val="hybridMultilevel"/>
    <w:tmpl w:val="79FC52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BC7AC8"/>
    <w:multiLevelType w:val="hybridMultilevel"/>
    <w:tmpl w:val="1C6E328A"/>
    <w:lvl w:ilvl="0" w:tplc="0D861552">
      <w:start w:val="1"/>
      <w:numFmt w:val="bullet"/>
      <w:pStyle w:val="ListBullet1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24713"/>
    <w:multiLevelType w:val="hybridMultilevel"/>
    <w:tmpl w:val="E410B6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10291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BE4382"/>
    <w:multiLevelType w:val="hybridMultilevel"/>
    <w:tmpl w:val="CB6A2E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51EE73B4"/>
    <w:lvl w:ilvl="0" w:tplc="4AAC1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324FD"/>
    <w:rsid w:val="00066D00"/>
    <w:rsid w:val="00080F8F"/>
    <w:rsid w:val="00097235"/>
    <w:rsid w:val="000B39C9"/>
    <w:rsid w:val="000E38E0"/>
    <w:rsid w:val="0010384C"/>
    <w:rsid w:val="00114674"/>
    <w:rsid w:val="001209B7"/>
    <w:rsid w:val="00136DB0"/>
    <w:rsid w:val="0014768D"/>
    <w:rsid w:val="00147FD2"/>
    <w:rsid w:val="00150A06"/>
    <w:rsid w:val="0015621A"/>
    <w:rsid w:val="00174117"/>
    <w:rsid w:val="001C1319"/>
    <w:rsid w:val="001D3471"/>
    <w:rsid w:val="001E598B"/>
    <w:rsid w:val="0022147A"/>
    <w:rsid w:val="002347F2"/>
    <w:rsid w:val="002602E7"/>
    <w:rsid w:val="00281DA6"/>
    <w:rsid w:val="002E1809"/>
    <w:rsid w:val="002F068F"/>
    <w:rsid w:val="00346B99"/>
    <w:rsid w:val="003D12E0"/>
    <w:rsid w:val="003E143D"/>
    <w:rsid w:val="0040759A"/>
    <w:rsid w:val="004531FE"/>
    <w:rsid w:val="004669EF"/>
    <w:rsid w:val="00480944"/>
    <w:rsid w:val="004A685F"/>
    <w:rsid w:val="0050086C"/>
    <w:rsid w:val="00501C66"/>
    <w:rsid w:val="0052520E"/>
    <w:rsid w:val="00550873"/>
    <w:rsid w:val="00564034"/>
    <w:rsid w:val="005658C3"/>
    <w:rsid w:val="00570E99"/>
    <w:rsid w:val="00594596"/>
    <w:rsid w:val="005B53A3"/>
    <w:rsid w:val="005D0AD7"/>
    <w:rsid w:val="005F5042"/>
    <w:rsid w:val="006150DB"/>
    <w:rsid w:val="00640D5C"/>
    <w:rsid w:val="00642BA7"/>
    <w:rsid w:val="00654971"/>
    <w:rsid w:val="00657A95"/>
    <w:rsid w:val="00660235"/>
    <w:rsid w:val="006609B9"/>
    <w:rsid w:val="00685279"/>
    <w:rsid w:val="006D2100"/>
    <w:rsid w:val="006F3FBD"/>
    <w:rsid w:val="00715F17"/>
    <w:rsid w:val="007248E6"/>
    <w:rsid w:val="007257CA"/>
    <w:rsid w:val="007265D0"/>
    <w:rsid w:val="00732E22"/>
    <w:rsid w:val="00741C20"/>
    <w:rsid w:val="007573F9"/>
    <w:rsid w:val="00767421"/>
    <w:rsid w:val="00783078"/>
    <w:rsid w:val="0079035F"/>
    <w:rsid w:val="007B4C43"/>
    <w:rsid w:val="007C1534"/>
    <w:rsid w:val="007E1606"/>
    <w:rsid w:val="007F4449"/>
    <w:rsid w:val="00800BF9"/>
    <w:rsid w:val="008935FA"/>
    <w:rsid w:val="008B64BA"/>
    <w:rsid w:val="008E62DC"/>
    <w:rsid w:val="00904077"/>
    <w:rsid w:val="00937A4A"/>
    <w:rsid w:val="00945402"/>
    <w:rsid w:val="009463FE"/>
    <w:rsid w:val="0095367A"/>
    <w:rsid w:val="009B32E4"/>
    <w:rsid w:val="009B7AC2"/>
    <w:rsid w:val="009C0A2A"/>
    <w:rsid w:val="00A03AA0"/>
    <w:rsid w:val="00A073FD"/>
    <w:rsid w:val="00A42049"/>
    <w:rsid w:val="00A64B03"/>
    <w:rsid w:val="00A71860"/>
    <w:rsid w:val="00AC0255"/>
    <w:rsid w:val="00AE0195"/>
    <w:rsid w:val="00B7189E"/>
    <w:rsid w:val="00B77C34"/>
    <w:rsid w:val="00B85EB6"/>
    <w:rsid w:val="00BB537B"/>
    <w:rsid w:val="00BC3FA1"/>
    <w:rsid w:val="00BE4D3C"/>
    <w:rsid w:val="00BF2448"/>
    <w:rsid w:val="00C25106"/>
    <w:rsid w:val="00C536A9"/>
    <w:rsid w:val="00C57903"/>
    <w:rsid w:val="00C75E67"/>
    <w:rsid w:val="00C814C2"/>
    <w:rsid w:val="00C93416"/>
    <w:rsid w:val="00CA6F08"/>
    <w:rsid w:val="00CB1501"/>
    <w:rsid w:val="00CD552D"/>
    <w:rsid w:val="00CD7841"/>
    <w:rsid w:val="00CD7A50"/>
    <w:rsid w:val="00CE717C"/>
    <w:rsid w:val="00CF0D8A"/>
    <w:rsid w:val="00D6589B"/>
    <w:rsid w:val="00D73BF5"/>
    <w:rsid w:val="00D766EC"/>
    <w:rsid w:val="00D92188"/>
    <w:rsid w:val="00E12C13"/>
    <w:rsid w:val="00E241B5"/>
    <w:rsid w:val="00E41B5F"/>
    <w:rsid w:val="00E5319D"/>
    <w:rsid w:val="00E61D16"/>
    <w:rsid w:val="00E66BA5"/>
    <w:rsid w:val="00E87770"/>
    <w:rsid w:val="00E90E51"/>
    <w:rsid w:val="00EA70F8"/>
    <w:rsid w:val="00EB37A1"/>
    <w:rsid w:val="00F13DBE"/>
    <w:rsid w:val="00F31F49"/>
    <w:rsid w:val="00F378A6"/>
    <w:rsid w:val="00F56591"/>
    <w:rsid w:val="00F61331"/>
    <w:rsid w:val="00F754B0"/>
    <w:rsid w:val="00F75D93"/>
    <w:rsid w:val="00FB33A6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D16"/>
    <w:pPr>
      <w:ind w:left="720"/>
      <w:contextualSpacing/>
    </w:pPr>
  </w:style>
  <w:style w:type="paragraph" w:customStyle="1" w:styleId="ListBullet1">
    <w:name w:val="List Bullet1"/>
    <w:basedOn w:val="ListParagraph"/>
    <w:rsid w:val="00E61D16"/>
    <w:pPr>
      <w:numPr>
        <w:numId w:val="5"/>
      </w:numPr>
    </w:pPr>
    <w:rPr>
      <w:rFonts w:ascii="Arial" w:hAnsi="Arial"/>
      <w:color w:val="auto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EA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0F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A70F8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0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70F8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221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ttachments/ExNotes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ttachments/Regul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ttachments/DecisionRI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750E-EB2B-4326-AA49-2D5500259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8339B-D7C7-4A61-A8C7-0A8C6060A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96626-553F-426A-8DAF-3BF4BCC5277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29221A-EA96-4113-87CA-2827F978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D0C36D-29A5-424A-9A54-F0676C3D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309</Words>
  <Characters>1720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Base>https://www.cabinet.qld.gov.au/documents/2014/Jun/Water Reg/</HyperlinkBase>
  <HLinks>
    <vt:vector size="18" baseType="variant"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Attachments/DecisionRIS.pdf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2293806</vt:i4>
      </vt:variant>
      <vt:variant>
        <vt:i4>0</vt:i4>
      </vt:variant>
      <vt:variant>
        <vt:i4>0</vt:i4>
      </vt:variant>
      <vt:variant>
        <vt:i4>5</vt:i4>
      </vt:variant>
      <vt:variant>
        <vt:lpwstr>Attachments/Regulation.PDF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2014-07-04T03:52:00Z</cp:lastPrinted>
  <dcterms:created xsi:type="dcterms:W3CDTF">2017-10-25T01:15:00Z</dcterms:created>
  <dcterms:modified xsi:type="dcterms:W3CDTF">2018-03-06T01:25:00Z</dcterms:modified>
  <cp:category>Water,Legislation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CopySource">
    <vt:lpwstr>https://collaboration.itp.qld.gov.au/dews/WSP/strategy/Level of Service LOS/04 Cabinet Submissions/02 Final Cabinet Submission June 2014/Attachment_7_Proactive_Release_to CLLO.doc</vt:lpwstr>
  </property>
  <property fmtid="{D5CDD505-2E9C-101B-9397-08002B2CF9AE}" pid="4" name="Order">
    <vt:lpwstr>97000.0000000000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0x01010064BE853DE2347F4181EBA6EDC010AAFD</vt:lpwstr>
  </property>
</Properties>
</file>